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B6F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bookmarkStart w:id="0" w:name="_Hlk216450068"/>
      <w:r w:rsidRPr="00505466">
        <w:rPr>
          <w:rFonts w:ascii="Verdana" w:hAnsi="Verdana" w:cs="Courier New"/>
          <w:b/>
          <w:sz w:val="24"/>
          <w:szCs w:val="24"/>
        </w:rPr>
        <w:t>TERMO DE REFERÊNCIA</w:t>
      </w:r>
    </w:p>
    <w:p w14:paraId="0107D567" w14:textId="77777777" w:rsidR="00167CEB" w:rsidRPr="00505466" w:rsidRDefault="00167CEB" w:rsidP="00EA26EA">
      <w:pPr>
        <w:spacing w:after="0" w:line="300" w:lineRule="auto"/>
        <w:jc w:val="both"/>
        <w:rPr>
          <w:rFonts w:ascii="Verdana" w:hAnsi="Verdana" w:cs="Courier New"/>
          <w:color w:val="0070C0"/>
          <w:sz w:val="24"/>
          <w:szCs w:val="24"/>
        </w:rPr>
      </w:pPr>
    </w:p>
    <w:p w14:paraId="24928D1D" w14:textId="77777777" w:rsidR="00167CEB" w:rsidRPr="00505466" w:rsidRDefault="00167CEB" w:rsidP="00EA26E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ind w:left="0" w:firstLine="0"/>
        <w:contextualSpacing w:val="0"/>
        <w:jc w:val="center"/>
        <w:rPr>
          <w:rFonts w:ascii="Verdana" w:hAnsi="Verdana"/>
          <w:b/>
          <w:sz w:val="24"/>
          <w:szCs w:val="24"/>
        </w:rPr>
      </w:pPr>
      <w:r w:rsidRPr="00505466">
        <w:rPr>
          <w:rFonts w:ascii="Verdana" w:hAnsi="Verdana"/>
          <w:b/>
          <w:sz w:val="24"/>
          <w:szCs w:val="24"/>
          <w:shd w:val="clear" w:color="auto" w:fill="C6D9F1"/>
        </w:rPr>
        <w:t>D</w:t>
      </w:r>
      <w:r w:rsidRPr="00505466">
        <w:rPr>
          <w:rFonts w:ascii="Verdana" w:hAnsi="Verdana"/>
          <w:b/>
          <w:sz w:val="24"/>
          <w:szCs w:val="24"/>
        </w:rPr>
        <w:t>EFINIÇÃO DO OBJETO.</w:t>
      </w:r>
    </w:p>
    <w:p w14:paraId="253C49F6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/>
          <w:bCs/>
          <w:sz w:val="24"/>
          <w:szCs w:val="24"/>
        </w:rPr>
      </w:pPr>
      <w:r w:rsidRPr="00505466">
        <w:rPr>
          <w:rFonts w:ascii="Verdana" w:hAnsi="Verdana"/>
          <w:bCs/>
          <w:sz w:val="24"/>
          <w:szCs w:val="24"/>
        </w:rPr>
        <w:t>(art. 6º, inciso XXIII, alínea “a”, da Lei nº. 14.133/2021).</w:t>
      </w:r>
    </w:p>
    <w:p w14:paraId="4D7BC03B" w14:textId="77777777" w:rsid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1.1.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>Contratação de empresa especializada para prestação de serviços técnicos de Assessoria e Consultoria Jurídica nas áreas de Direito Administrativo, Gestão Pública e Controle Interno, para suporte ao Consórcio Intermunicipal do Alto Vale do Paranapanema – AMVAPA, atuando nas instâncias administrativa e judicial e englobando as questões de Organização, Procedimentos, Métodos, Planejamento e Funcionamento do Consórcio, Auditorias e Relatórios, e Assessoria à Comissão de Licitações.</w:t>
      </w:r>
    </w:p>
    <w:p w14:paraId="45FF11B6" w14:textId="77777777" w:rsidR="00505466" w:rsidRPr="00B16465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24A31843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2 - FUNDAMENTAÇÃO DA CONTRATAÇÃO.</w:t>
      </w:r>
    </w:p>
    <w:p w14:paraId="1FE678A1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“b”, da Lei nº.  14.133/2021).</w:t>
      </w:r>
    </w:p>
    <w:p w14:paraId="34660289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B16465">
        <w:rPr>
          <w:rFonts w:ascii="Verdana" w:hAnsi="Verdana" w:cs="Arial"/>
          <w:b/>
          <w:bCs/>
          <w:sz w:val="24"/>
          <w:szCs w:val="24"/>
        </w:rPr>
        <w:t xml:space="preserve">2.1. </w:t>
      </w:r>
      <w:r w:rsidRPr="00505466">
        <w:rPr>
          <w:rFonts w:ascii="Verdana" w:hAnsi="Verdana" w:cs="Arial"/>
          <w:sz w:val="24"/>
          <w:szCs w:val="24"/>
        </w:rPr>
        <w:t>A contratação por inexigibilidade de licitação encontra amparo em dispositivos legais e em consolidada jurisprudência, que reconhecem a singularidade dos serviços advocatícios.</w:t>
      </w:r>
    </w:p>
    <w:p w14:paraId="0C9D6C97" w14:textId="77777777" w:rsidR="00EA26EA" w:rsidRDefault="00EA26EA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C6C9235" w14:textId="64D2F8BE" w:rsidR="00505466" w:rsidRP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B16465">
        <w:rPr>
          <w:rFonts w:ascii="Verdana" w:hAnsi="Verdana" w:cs="Arial"/>
          <w:b/>
          <w:bCs/>
          <w:sz w:val="24"/>
          <w:szCs w:val="24"/>
        </w:rPr>
        <w:t>2.</w:t>
      </w:r>
      <w:r>
        <w:rPr>
          <w:rFonts w:ascii="Verdana" w:hAnsi="Verdana" w:cs="Arial"/>
          <w:b/>
          <w:bCs/>
          <w:sz w:val="24"/>
          <w:szCs w:val="24"/>
        </w:rPr>
        <w:t>2</w:t>
      </w:r>
      <w:r w:rsidRPr="00B16465">
        <w:rPr>
          <w:rFonts w:ascii="Verdana" w:hAnsi="Verdana" w:cs="Arial"/>
          <w:b/>
          <w:bCs/>
          <w:sz w:val="24"/>
          <w:szCs w:val="24"/>
        </w:rPr>
        <w:t xml:space="preserve">. 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505466">
        <w:rPr>
          <w:rFonts w:ascii="Verdana" w:hAnsi="Verdana" w:cs="Arial"/>
          <w:sz w:val="24"/>
          <w:szCs w:val="24"/>
        </w:rPr>
        <w:t>O principal dispositivo que autoriza a contratação é o artigo 74, inciso III, da Lei nº 14.133/2021 (Nova Lei de Licitações) que estabelece a inexigibilidade de licitação para a contratação de "serviços técnicos especializados, de natureza predominantemente intelectual, com profissionais ou empresas de notória especialização". A assessoria jurídica se enquadra perfeitamente nesta definição.</w:t>
      </w:r>
    </w:p>
    <w:p w14:paraId="698920E0" w14:textId="77777777" w:rsidR="00EA26EA" w:rsidRDefault="00EA26EA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2C31CB5B" w14:textId="0E5B8EFC" w:rsidR="00505466" w:rsidRP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B16465">
        <w:rPr>
          <w:rFonts w:ascii="Verdana" w:hAnsi="Verdana" w:cs="Arial"/>
          <w:b/>
          <w:bCs/>
          <w:sz w:val="24"/>
          <w:szCs w:val="24"/>
        </w:rPr>
        <w:t>2.</w:t>
      </w:r>
      <w:r>
        <w:rPr>
          <w:rFonts w:ascii="Verdana" w:hAnsi="Verdana" w:cs="Arial"/>
          <w:b/>
          <w:bCs/>
          <w:sz w:val="24"/>
          <w:szCs w:val="24"/>
        </w:rPr>
        <w:t>3</w:t>
      </w:r>
      <w:r w:rsidRPr="00B16465">
        <w:rPr>
          <w:rFonts w:ascii="Verdana" w:hAnsi="Verdana" w:cs="Arial"/>
          <w:b/>
          <w:bCs/>
          <w:sz w:val="24"/>
          <w:szCs w:val="24"/>
        </w:rPr>
        <w:t xml:space="preserve">. 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505466">
        <w:rPr>
          <w:rFonts w:ascii="Verdana" w:hAnsi="Verdana" w:cs="Arial"/>
          <w:sz w:val="24"/>
          <w:szCs w:val="24"/>
        </w:rPr>
        <w:t>A natureza singular dos serviços advocatícios foi reforçada pela Lei nº 14.039/2020, que incluiu o art. 3º-A na Lei nº 8.906/1994 (Estatuto da Advocacia. Este artigo estabelece que os serviços profissionais de advogado são, por sua natureza, técnicos e singulares, quando comprovada a notória especialização. Isso significa que a própria lei já presume a singularidade, um dos requisitos para a inexigibilidade.</w:t>
      </w:r>
    </w:p>
    <w:p w14:paraId="2A01DDDF" w14:textId="77777777" w:rsidR="00167CEB" w:rsidRP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24A99053" w14:textId="77777777" w:rsidR="00167CEB" w:rsidRPr="00505466" w:rsidRDefault="00167CEB" w:rsidP="00EA26EA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ind w:left="0" w:hanging="11"/>
        <w:contextualSpacing w:val="0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DESCRIÇÃO DA SOLUÇÃO COMO UM TODO.</w:t>
      </w:r>
    </w:p>
    <w:p w14:paraId="1812919A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ind w:left="-11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“c”, da Lei nº. 14.133/2021).</w:t>
      </w:r>
    </w:p>
    <w:p w14:paraId="4D627D76" w14:textId="77777777" w:rsid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3.1.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A solução consiste na prestação contínua dos seguintes serviços: </w:t>
      </w:r>
    </w:p>
    <w:p w14:paraId="623E3D9F" w14:textId="77777777" w:rsidR="00EA26EA" w:rsidRDefault="00EA26EA" w:rsidP="00EA26EA">
      <w:pPr>
        <w:spacing w:after="0" w:line="300" w:lineRule="auto"/>
        <w:jc w:val="both"/>
        <w:rPr>
          <w:rFonts w:ascii="Verdana" w:hAnsi="Verdana" w:cs="Courier New"/>
          <w:b/>
          <w:bCs/>
          <w:sz w:val="24"/>
          <w:szCs w:val="24"/>
        </w:rPr>
      </w:pPr>
    </w:p>
    <w:p w14:paraId="39123E2B" w14:textId="256D03F9" w:rsidR="00505466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3.1.</w:t>
      </w:r>
      <w:r>
        <w:rPr>
          <w:rFonts w:ascii="Verdana" w:hAnsi="Verdana" w:cs="Courier New"/>
          <w:b/>
          <w:bCs/>
          <w:sz w:val="24"/>
          <w:szCs w:val="24"/>
        </w:rPr>
        <w:t>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 Acompanhamento das demandas jurídico-administrativas cotidianas do Consórcio. </w:t>
      </w:r>
    </w:p>
    <w:p w14:paraId="0724A8E8" w14:textId="77777777" w:rsidR="00EA26EA" w:rsidRDefault="00EA26EA" w:rsidP="00EA26EA">
      <w:pPr>
        <w:spacing w:after="0" w:line="300" w:lineRule="auto"/>
        <w:jc w:val="both"/>
        <w:rPr>
          <w:rFonts w:ascii="Verdana" w:hAnsi="Verdana" w:cs="Courier New"/>
          <w:b/>
          <w:bCs/>
          <w:sz w:val="24"/>
          <w:szCs w:val="24"/>
        </w:rPr>
      </w:pPr>
    </w:p>
    <w:p w14:paraId="560DFC8A" w14:textId="08CEF89F" w:rsidR="00505466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lastRenderedPageBreak/>
        <w:t>3.1.</w:t>
      </w:r>
      <w:r>
        <w:rPr>
          <w:rFonts w:ascii="Verdana" w:hAnsi="Verdana" w:cs="Courier New"/>
          <w:b/>
          <w:bCs/>
          <w:sz w:val="24"/>
          <w:szCs w:val="24"/>
        </w:rPr>
        <w:t>2.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Elaboração de minutas de atos administrativos (Portarias, Resoluções, Contratos, etc.) e emissão de pareceres sobre temas de natureza jurídica. </w:t>
      </w:r>
    </w:p>
    <w:p w14:paraId="48FF186D" w14:textId="77777777" w:rsidR="00EA26EA" w:rsidRDefault="00EA26EA" w:rsidP="00EA26EA">
      <w:pPr>
        <w:spacing w:after="0" w:line="300" w:lineRule="auto"/>
        <w:jc w:val="both"/>
        <w:rPr>
          <w:rFonts w:ascii="Verdana" w:hAnsi="Verdana" w:cs="Courier New"/>
          <w:b/>
          <w:bCs/>
          <w:sz w:val="24"/>
          <w:szCs w:val="24"/>
        </w:rPr>
      </w:pPr>
    </w:p>
    <w:p w14:paraId="5B062B62" w14:textId="3433F9B3" w:rsidR="00505466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3.1.</w:t>
      </w:r>
      <w:r>
        <w:rPr>
          <w:rFonts w:ascii="Verdana" w:hAnsi="Verdana" w:cs="Courier New"/>
          <w:b/>
          <w:bCs/>
          <w:sz w:val="24"/>
          <w:szCs w:val="24"/>
        </w:rPr>
        <w:t>3.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Consultoria para o aperfeiçoamento de procedimentos internos, visando à prevenção de irregularidades. </w:t>
      </w:r>
    </w:p>
    <w:p w14:paraId="17984F8E" w14:textId="77777777" w:rsidR="00EA26EA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6A370377" w14:textId="4CB68F22" w:rsidR="00505466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3.1.</w:t>
      </w:r>
      <w:r>
        <w:rPr>
          <w:rFonts w:ascii="Verdana" w:hAnsi="Verdana" w:cs="Courier New"/>
          <w:b/>
          <w:bCs/>
          <w:sz w:val="24"/>
          <w:szCs w:val="24"/>
        </w:rPr>
        <w:t>4.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>Patrocínio dos interesses do Consórcio em processos judiciais e administrativos em todas as instâncias (Justiça Estadual, Federal, do Trabalho, Tribunais de Contas e Tribunais Superiores). e) Disponibilização de consultoria jurídica para sanar dúvidas, com formalização das orientações por escrito sempre que a matéria exigir.</w:t>
      </w:r>
    </w:p>
    <w:p w14:paraId="51AA353A" w14:textId="77777777" w:rsidR="00EA26EA" w:rsidRPr="00B16465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13D3A78D" w14:textId="5B8CD3F8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4- REQUISITOS DA CONTRATAÇÃO.</w:t>
      </w:r>
    </w:p>
    <w:p w14:paraId="39CF96DA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“d”, da Lei nº.  14.133/2021).</w:t>
      </w:r>
    </w:p>
    <w:p w14:paraId="0B6C4DE2" w14:textId="77777777" w:rsid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4.1.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A contratada deverá ser uma sociedade de advogados ou profissional autônomo devidamente inscrito na Ordem dos Advogados do Brasil (OAB). </w:t>
      </w:r>
    </w:p>
    <w:p w14:paraId="242DB367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4604AF76" w14:textId="19671F6F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4</w:t>
      </w:r>
      <w:r w:rsidRPr="00B16465">
        <w:rPr>
          <w:rFonts w:ascii="Verdana" w:hAnsi="Verdana" w:cs="Arial"/>
          <w:b/>
          <w:bCs/>
          <w:sz w:val="24"/>
          <w:szCs w:val="24"/>
        </w:rPr>
        <w:t>.2.</w:t>
      </w:r>
      <w:r w:rsidRPr="00B16465">
        <w:rPr>
          <w:rFonts w:ascii="Verdana" w:hAnsi="Verdana" w:cs="Arial"/>
          <w:sz w:val="24"/>
          <w:szCs w:val="24"/>
        </w:rPr>
        <w:t xml:space="preserve"> Deverá comprovar, por meio de atestados de capacidade técnica, currículos ou outros documentos idôneos, a notória especialização nas áreas de Direito Administrativo e Gestão Pública. </w:t>
      </w:r>
    </w:p>
    <w:p w14:paraId="5508B604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7DA31CAC" w14:textId="6B33310D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4</w:t>
      </w:r>
      <w:r w:rsidRPr="00B16465">
        <w:rPr>
          <w:rFonts w:ascii="Verdana" w:hAnsi="Verdana" w:cs="Arial"/>
          <w:b/>
          <w:bCs/>
          <w:sz w:val="24"/>
          <w:szCs w:val="24"/>
        </w:rPr>
        <w:t>.3.</w:t>
      </w:r>
      <w:r w:rsidRPr="00B16465">
        <w:rPr>
          <w:rFonts w:ascii="Verdana" w:hAnsi="Verdana" w:cs="Arial"/>
          <w:sz w:val="24"/>
          <w:szCs w:val="24"/>
        </w:rPr>
        <w:t xml:space="preserve"> Manter, durante toda a execução do contrato, as condições de habilitação e qualificação exigidas. </w:t>
      </w:r>
    </w:p>
    <w:p w14:paraId="2CB4FB2C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2DA3442B" w14:textId="5102E978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4</w:t>
      </w:r>
      <w:r w:rsidRPr="00B16465">
        <w:rPr>
          <w:rFonts w:ascii="Verdana" w:hAnsi="Verdana" w:cs="Arial"/>
          <w:b/>
          <w:bCs/>
          <w:sz w:val="24"/>
          <w:szCs w:val="24"/>
        </w:rPr>
        <w:t>.4.</w:t>
      </w:r>
      <w:r w:rsidRPr="00B16465">
        <w:rPr>
          <w:rFonts w:ascii="Verdana" w:hAnsi="Verdana" w:cs="Arial"/>
          <w:sz w:val="24"/>
          <w:szCs w:val="24"/>
        </w:rPr>
        <w:t xml:space="preserve"> Responsabilizar-se por todas as obrigações trabalhistas, previdenciárias, fiscais e comerciais resultantes da execução do contrato. </w:t>
      </w:r>
    </w:p>
    <w:p w14:paraId="22EED278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406F21A5" w14:textId="74288641" w:rsidR="00505466" w:rsidRPr="00B16465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4</w:t>
      </w:r>
      <w:r w:rsidRPr="00B16465">
        <w:rPr>
          <w:rFonts w:ascii="Verdana" w:hAnsi="Verdana" w:cs="Arial"/>
          <w:b/>
          <w:bCs/>
          <w:sz w:val="24"/>
          <w:szCs w:val="24"/>
        </w:rPr>
        <w:t>.5.</w:t>
      </w:r>
      <w:r w:rsidRPr="00B16465">
        <w:rPr>
          <w:rFonts w:ascii="Verdana" w:hAnsi="Verdana" w:cs="Arial"/>
          <w:sz w:val="24"/>
          <w:szCs w:val="24"/>
        </w:rPr>
        <w:t xml:space="preserve"> Guardar sigilo absoluto sobre todas as informações obtidas em decorrência da prestação dos serviços.</w:t>
      </w:r>
    </w:p>
    <w:p w14:paraId="6BDAFFBC" w14:textId="026A80FA" w:rsidR="00167CEB" w:rsidRP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4B91C7A2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5- MODELO DE EXECUÇÃO DO OBJETO.</w:t>
      </w:r>
    </w:p>
    <w:p w14:paraId="32A460E7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“e”, da Lei nº.  14.133/2021).</w:t>
      </w:r>
    </w:p>
    <w:p w14:paraId="4CBC8D4C" w14:textId="77777777" w:rsid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5.1.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Os serviços deverão ser disponibilizados de forma contínua e com início imediato após a assinatura do contrato. </w:t>
      </w:r>
    </w:p>
    <w:p w14:paraId="31C21B19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6B0C5B2E" w14:textId="4D345317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5</w:t>
      </w:r>
      <w:r w:rsidRPr="00B16465">
        <w:rPr>
          <w:rFonts w:ascii="Verdana" w:hAnsi="Verdana" w:cs="Arial"/>
          <w:b/>
          <w:bCs/>
          <w:sz w:val="24"/>
          <w:szCs w:val="24"/>
        </w:rPr>
        <w:t>.2.</w:t>
      </w:r>
      <w:r w:rsidRPr="00B16465">
        <w:rPr>
          <w:rFonts w:ascii="Verdana" w:hAnsi="Verdana" w:cs="Arial"/>
          <w:sz w:val="24"/>
          <w:szCs w:val="24"/>
        </w:rPr>
        <w:t xml:space="preserve"> A prestação ocorrerá de forma presencial na sede do Consórcio, quando necessário, e remotamente, por meios como telefone, e-mail e videoconferência. </w:t>
      </w:r>
    </w:p>
    <w:p w14:paraId="7407C211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694D98EA" w14:textId="09282561" w:rsidR="00505466" w:rsidRPr="00B16465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Arial"/>
          <w:b/>
          <w:bCs/>
          <w:sz w:val="24"/>
          <w:szCs w:val="24"/>
        </w:rPr>
        <w:lastRenderedPageBreak/>
        <w:t>5</w:t>
      </w:r>
      <w:r w:rsidRPr="00B16465">
        <w:rPr>
          <w:rFonts w:ascii="Verdana" w:hAnsi="Verdana" w:cs="Arial"/>
          <w:b/>
          <w:bCs/>
          <w:sz w:val="24"/>
          <w:szCs w:val="24"/>
        </w:rPr>
        <w:t>.3.</w:t>
      </w:r>
      <w:r w:rsidRPr="00B16465">
        <w:rPr>
          <w:rFonts w:ascii="Verdana" w:hAnsi="Verdana" w:cs="Arial"/>
          <w:sz w:val="24"/>
          <w:szCs w:val="24"/>
        </w:rPr>
        <w:t xml:space="preserve"> As orientações e pareceres conclusivos deverão ser sempre formalizados por escrito e assinados pelo profissional responsável.</w:t>
      </w:r>
    </w:p>
    <w:p w14:paraId="0890C60C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7B7B80DB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6- MODELO DE GESTÃO DO CONTRATO.</w:t>
      </w:r>
    </w:p>
    <w:p w14:paraId="4C0B4C11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“f”, da Lei nº.  14.133/2021).</w:t>
      </w:r>
    </w:p>
    <w:p w14:paraId="03246D90" w14:textId="669EF372" w:rsid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6.1.</w:t>
      </w:r>
      <w:r w:rsidRPr="00505466">
        <w:rPr>
          <w:rFonts w:ascii="Verdana" w:hAnsi="Verdana" w:cs="Courier New"/>
          <w:sz w:val="24"/>
          <w:szCs w:val="24"/>
        </w:rPr>
        <w:t xml:space="preserve">  </w:t>
      </w:r>
      <w:r w:rsidR="00505466" w:rsidRPr="00B16465">
        <w:rPr>
          <w:rFonts w:ascii="Verdana" w:hAnsi="Verdana" w:cs="Arial"/>
          <w:sz w:val="24"/>
          <w:szCs w:val="24"/>
        </w:rPr>
        <w:t xml:space="preserve">A gestão e a fiscalização do contrato ficarão a cargo de um servidor ou comissão designada pela Diretoria </w:t>
      </w:r>
      <w:r w:rsidR="00505466">
        <w:rPr>
          <w:rFonts w:ascii="Verdana" w:hAnsi="Verdana" w:cs="Arial"/>
          <w:sz w:val="24"/>
          <w:szCs w:val="24"/>
        </w:rPr>
        <w:t xml:space="preserve">Executiva </w:t>
      </w:r>
      <w:r w:rsidR="00505466" w:rsidRPr="00B16465">
        <w:rPr>
          <w:rFonts w:ascii="Verdana" w:hAnsi="Verdana" w:cs="Arial"/>
          <w:sz w:val="24"/>
          <w:szCs w:val="24"/>
        </w:rPr>
        <w:t xml:space="preserve">do Consórcio. </w:t>
      </w:r>
    </w:p>
    <w:p w14:paraId="5620EBF4" w14:textId="77777777" w:rsidR="00EA26EA" w:rsidRDefault="00EA26EA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05F88B66" w14:textId="7D58E39D" w:rsidR="00505466" w:rsidRPr="00B16465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Arial"/>
          <w:b/>
          <w:bCs/>
          <w:sz w:val="24"/>
          <w:szCs w:val="24"/>
        </w:rPr>
        <w:t>6</w:t>
      </w:r>
      <w:r w:rsidRPr="00B16465">
        <w:rPr>
          <w:rFonts w:ascii="Verdana" w:hAnsi="Verdana" w:cs="Arial"/>
          <w:b/>
          <w:bCs/>
          <w:sz w:val="24"/>
          <w:szCs w:val="24"/>
        </w:rPr>
        <w:t>.2.</w:t>
      </w:r>
      <w:r w:rsidRPr="00B16465">
        <w:rPr>
          <w:rFonts w:ascii="Verdana" w:hAnsi="Verdana" w:cs="Arial"/>
          <w:sz w:val="24"/>
          <w:szCs w:val="24"/>
        </w:rPr>
        <w:t xml:space="preserve"> O fiscal do contrato será responsável por acompanhar a execução dos serviços, atestar a regularidade das prestações, solicitar ajustes e registrar todas as ocorrências relevantes, garantindo o fiel cumprimento das cláusulas contratuais.</w:t>
      </w:r>
    </w:p>
    <w:p w14:paraId="78AD2628" w14:textId="2B088A5E" w:rsidR="00167CEB" w:rsidRP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259DC6E4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7- CRITÉRIOS DE MEDIÇÃO E DE PAGAMENTO.</w:t>
      </w:r>
    </w:p>
    <w:p w14:paraId="30E3E422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“g”, da Lei nº. 14.133/2021).</w:t>
      </w:r>
    </w:p>
    <w:p w14:paraId="162A82D0" w14:textId="77777777" w:rsidR="00505466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7.1.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505466" w:rsidRPr="00B16465">
        <w:rPr>
          <w:rFonts w:ascii="Verdana" w:hAnsi="Verdana" w:cs="Arial"/>
          <w:sz w:val="24"/>
          <w:szCs w:val="24"/>
        </w:rPr>
        <w:t xml:space="preserve">A medição dos serviços será mensal. </w:t>
      </w:r>
    </w:p>
    <w:p w14:paraId="2D176D42" w14:textId="77777777" w:rsidR="00505466" w:rsidRDefault="00505466" w:rsidP="00EA26EA">
      <w:pPr>
        <w:spacing w:after="0" w:line="30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93E77E9" w14:textId="026945D2" w:rsidR="00505466" w:rsidRPr="00B16465" w:rsidRDefault="00505466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Arial"/>
          <w:b/>
          <w:bCs/>
          <w:sz w:val="24"/>
          <w:szCs w:val="24"/>
        </w:rPr>
        <w:t>7</w:t>
      </w:r>
      <w:r w:rsidRPr="00B16465">
        <w:rPr>
          <w:rFonts w:ascii="Verdana" w:hAnsi="Verdana" w:cs="Arial"/>
          <w:b/>
          <w:bCs/>
          <w:sz w:val="24"/>
          <w:szCs w:val="24"/>
        </w:rPr>
        <w:t>.2.</w:t>
      </w:r>
      <w:r w:rsidRPr="00B16465">
        <w:rPr>
          <w:rFonts w:ascii="Verdana" w:hAnsi="Verdana" w:cs="Arial"/>
          <w:sz w:val="24"/>
          <w:szCs w:val="24"/>
        </w:rPr>
        <w:t xml:space="preserve"> O pagamento será efetuado em até </w:t>
      </w:r>
      <w:r w:rsidR="00EA26EA">
        <w:rPr>
          <w:rFonts w:ascii="Verdana" w:hAnsi="Verdana" w:cs="Arial"/>
          <w:sz w:val="24"/>
          <w:szCs w:val="24"/>
        </w:rPr>
        <w:t>15 (quinze)</w:t>
      </w:r>
      <w:r w:rsidRPr="00B16465">
        <w:rPr>
          <w:rFonts w:ascii="Verdana" w:hAnsi="Verdana" w:cs="Arial"/>
          <w:sz w:val="24"/>
          <w:szCs w:val="24"/>
        </w:rPr>
        <w:t xml:space="preserve"> dias após a apresentação da nota fiscal, devidamente atestada pelo fiscal do contrato, que comprovará a efetiva prestação dos serviços no período correspondente.</w:t>
      </w:r>
    </w:p>
    <w:p w14:paraId="562F1559" w14:textId="2C8AF392" w:rsidR="00167CEB" w:rsidRPr="00505466" w:rsidRDefault="00167CEB" w:rsidP="00EA26EA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6752C99A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8- FORMA E CRITÉRIOS DE SELEÇÃO DO FORNECEDOR.</w:t>
      </w:r>
    </w:p>
    <w:p w14:paraId="6E0D03B7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“h”, da Lei nº. 14.133/2021).</w:t>
      </w:r>
    </w:p>
    <w:p w14:paraId="04547D78" w14:textId="77777777" w:rsidR="00167CEB" w:rsidRPr="00505466" w:rsidRDefault="00167CEB" w:rsidP="00EA26EA">
      <w:pPr>
        <w:pStyle w:val="PargrafodaLista1"/>
        <w:spacing w:line="300" w:lineRule="auto"/>
        <w:ind w:left="0"/>
        <w:jc w:val="both"/>
        <w:rPr>
          <w:rFonts w:ascii="Verdana" w:hAnsi="Verdana" w:cs="Courier New"/>
          <w:b/>
          <w:bCs/>
        </w:rPr>
      </w:pPr>
    </w:p>
    <w:p w14:paraId="3E2E1720" w14:textId="0FDD762B" w:rsidR="00EA26EA" w:rsidRDefault="00167CEB" w:rsidP="00EA26EA">
      <w:pPr>
        <w:pStyle w:val="PargrafodaLista1"/>
        <w:spacing w:line="300" w:lineRule="auto"/>
        <w:ind w:left="0"/>
        <w:jc w:val="both"/>
        <w:rPr>
          <w:rFonts w:ascii="Verdana" w:hAnsi="Verdana" w:cs="Arial"/>
        </w:rPr>
      </w:pPr>
      <w:r w:rsidRPr="00505466">
        <w:rPr>
          <w:rFonts w:ascii="Verdana" w:hAnsi="Verdana" w:cs="Courier New"/>
          <w:b/>
          <w:bCs/>
        </w:rPr>
        <w:t>8.1.</w:t>
      </w:r>
      <w:r w:rsidRPr="00505466">
        <w:rPr>
          <w:rFonts w:ascii="Verdana" w:hAnsi="Verdana" w:cs="Courier New"/>
        </w:rPr>
        <w:t xml:space="preserve"> </w:t>
      </w:r>
      <w:r w:rsidR="00EA26EA" w:rsidRPr="00B16465">
        <w:rPr>
          <w:rFonts w:ascii="Verdana" w:hAnsi="Verdana" w:cs="Arial"/>
        </w:rPr>
        <w:t xml:space="preserve">A seleção do fornecedor será realizada por </w:t>
      </w:r>
      <w:r w:rsidR="00EA26EA" w:rsidRPr="00B16465">
        <w:rPr>
          <w:rFonts w:ascii="Verdana" w:eastAsiaTheme="majorEastAsia" w:hAnsi="Verdana" w:cs="Arial"/>
        </w:rPr>
        <w:t>inexigibilidade de licitação</w:t>
      </w:r>
      <w:r w:rsidR="00EA26EA" w:rsidRPr="00B16465">
        <w:rPr>
          <w:rFonts w:ascii="Verdana" w:hAnsi="Verdana" w:cs="Arial"/>
        </w:rPr>
        <w:t xml:space="preserve">, com fundamento no </w:t>
      </w:r>
      <w:r w:rsidR="00EA26EA" w:rsidRPr="00B16465">
        <w:rPr>
          <w:rFonts w:ascii="Verdana" w:eastAsiaTheme="majorEastAsia" w:hAnsi="Verdana" w:cs="Arial"/>
        </w:rPr>
        <w:t>art. 74, inciso III, da Lei nº 14.133/2021</w:t>
      </w:r>
      <w:r w:rsidR="00EA26EA" w:rsidRPr="00B16465">
        <w:rPr>
          <w:rFonts w:ascii="Verdana" w:hAnsi="Verdana" w:cs="Arial"/>
        </w:rPr>
        <w:t xml:space="preserve">, dada a natureza técnica, intelectual e singular dos serviços advocatícios e a inviabilidade de competição para a escolha de profissional baseada na confiança e na </w:t>
      </w:r>
      <w:r w:rsidR="00EA26EA" w:rsidRPr="00B16465">
        <w:rPr>
          <w:rFonts w:ascii="Verdana" w:eastAsiaTheme="majorEastAsia" w:hAnsi="Verdana" w:cs="Arial"/>
        </w:rPr>
        <w:t>notória especialização</w:t>
      </w:r>
      <w:r w:rsidR="00EA26EA" w:rsidRPr="00B16465">
        <w:rPr>
          <w:rFonts w:ascii="Verdana" w:hAnsi="Verdana" w:cs="Arial"/>
        </w:rPr>
        <w:t xml:space="preserve">. </w:t>
      </w:r>
    </w:p>
    <w:p w14:paraId="45943DFF" w14:textId="77777777" w:rsidR="00EA26EA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</w:p>
    <w:p w14:paraId="40ACFED2" w14:textId="2924F037" w:rsidR="00EA26EA" w:rsidRPr="00B16465" w:rsidRDefault="00EA26EA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EA26EA">
        <w:rPr>
          <w:rFonts w:ascii="Verdana" w:hAnsi="Verdana" w:cs="Arial"/>
          <w:b/>
          <w:bCs/>
          <w:sz w:val="24"/>
          <w:szCs w:val="24"/>
        </w:rPr>
        <w:t>8</w:t>
      </w:r>
      <w:r w:rsidRPr="00B16465">
        <w:rPr>
          <w:rFonts w:ascii="Verdana" w:hAnsi="Verdana" w:cs="Arial"/>
          <w:b/>
          <w:bCs/>
          <w:sz w:val="24"/>
          <w:szCs w:val="24"/>
        </w:rPr>
        <w:t>.2.</w:t>
      </w:r>
      <w:r w:rsidRPr="00B16465">
        <w:rPr>
          <w:rFonts w:ascii="Verdana" w:hAnsi="Verdana" w:cs="Arial"/>
          <w:sz w:val="24"/>
          <w:szCs w:val="24"/>
        </w:rPr>
        <w:t xml:space="preserve"> A empresa a ser contratada será selecionada após análise de sua qualificação técnica, experiência e adequação de sua proposta às necessidades do Consórcio.</w:t>
      </w:r>
    </w:p>
    <w:p w14:paraId="05F5C5AC" w14:textId="77777777" w:rsidR="00EA26EA" w:rsidRPr="00505466" w:rsidRDefault="00EA26EA" w:rsidP="00EA26EA">
      <w:pPr>
        <w:pStyle w:val="PargrafodaLista1"/>
        <w:spacing w:line="300" w:lineRule="auto"/>
        <w:ind w:left="0"/>
        <w:jc w:val="both"/>
        <w:rPr>
          <w:rFonts w:ascii="Verdana" w:hAnsi="Verdana" w:cs="Arial"/>
        </w:rPr>
      </w:pPr>
    </w:p>
    <w:p w14:paraId="1E338531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t>9- ESTIMATIVAS DO VALOR DA CONTRATAÇÃO.</w:t>
      </w:r>
    </w:p>
    <w:p w14:paraId="398965F1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“i”, da Lei nº. 14.133/2021).</w:t>
      </w:r>
    </w:p>
    <w:p w14:paraId="7E72EE11" w14:textId="409A9D08" w:rsidR="00EA26EA" w:rsidRPr="00B16465" w:rsidRDefault="00167CEB" w:rsidP="00EA26EA">
      <w:pPr>
        <w:spacing w:after="0" w:line="300" w:lineRule="auto"/>
        <w:jc w:val="both"/>
        <w:rPr>
          <w:rFonts w:ascii="Verdana" w:hAnsi="Verdana" w:cs="Arial"/>
          <w:sz w:val="24"/>
          <w:szCs w:val="24"/>
        </w:rPr>
      </w:pPr>
      <w:r w:rsidRPr="00505466">
        <w:rPr>
          <w:rFonts w:ascii="Verdana" w:hAnsi="Verdana" w:cs="Courier New"/>
          <w:b/>
          <w:bCs/>
          <w:sz w:val="24"/>
          <w:szCs w:val="24"/>
        </w:rPr>
        <w:t>9.1.</w:t>
      </w:r>
      <w:r w:rsidRPr="00505466">
        <w:rPr>
          <w:rFonts w:ascii="Verdana" w:hAnsi="Verdana" w:cs="Courier New"/>
          <w:sz w:val="24"/>
          <w:szCs w:val="24"/>
        </w:rPr>
        <w:t xml:space="preserve"> </w:t>
      </w:r>
      <w:r w:rsidR="00EA26EA" w:rsidRPr="00B16465">
        <w:rPr>
          <w:rFonts w:ascii="Verdana" w:hAnsi="Verdana" w:cs="Arial"/>
          <w:sz w:val="24"/>
          <w:szCs w:val="24"/>
        </w:rPr>
        <w:t xml:space="preserve">O valor estimado para a contratação é de R$ </w:t>
      </w:r>
      <w:r w:rsidR="00EA26EA">
        <w:rPr>
          <w:rFonts w:ascii="Verdana" w:hAnsi="Verdana" w:cs="Arial"/>
          <w:sz w:val="24"/>
          <w:szCs w:val="24"/>
        </w:rPr>
        <w:t xml:space="preserve">4.000,00 (quatro mil reais) </w:t>
      </w:r>
      <w:r w:rsidR="00EA26EA" w:rsidRPr="00B16465">
        <w:rPr>
          <w:rFonts w:ascii="Verdana" w:hAnsi="Verdana" w:cs="Arial"/>
          <w:sz w:val="24"/>
          <w:szCs w:val="24"/>
        </w:rPr>
        <w:t xml:space="preserve">mensais, totalizando R$ </w:t>
      </w:r>
      <w:r w:rsidR="00EA26EA">
        <w:rPr>
          <w:rFonts w:ascii="Verdana" w:hAnsi="Verdana" w:cs="Arial"/>
          <w:sz w:val="24"/>
          <w:szCs w:val="24"/>
        </w:rPr>
        <w:t>48.000,00</w:t>
      </w:r>
      <w:r w:rsidR="00EA26EA" w:rsidRPr="00B16465">
        <w:rPr>
          <w:rFonts w:ascii="Verdana" w:hAnsi="Verdana" w:cs="Arial"/>
          <w:sz w:val="24"/>
          <w:szCs w:val="24"/>
        </w:rPr>
        <w:t xml:space="preserve"> (</w:t>
      </w:r>
      <w:r w:rsidR="00EA26EA">
        <w:rPr>
          <w:rFonts w:ascii="Verdana" w:hAnsi="Verdana" w:cs="Arial"/>
          <w:sz w:val="24"/>
          <w:szCs w:val="24"/>
        </w:rPr>
        <w:t>quarenta e oito mil reais</w:t>
      </w:r>
      <w:r w:rsidR="00EA26EA" w:rsidRPr="00B16465">
        <w:rPr>
          <w:rFonts w:ascii="Verdana" w:hAnsi="Verdana" w:cs="Arial"/>
          <w:sz w:val="24"/>
          <w:szCs w:val="24"/>
        </w:rPr>
        <w:t>) anuais, conforme pesquisa de mercado / justificativa de preços anexa.</w:t>
      </w:r>
    </w:p>
    <w:p w14:paraId="51ECEB25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05466">
        <w:rPr>
          <w:rFonts w:ascii="Verdana" w:hAnsi="Verdana" w:cs="Courier New"/>
          <w:b/>
          <w:sz w:val="24"/>
          <w:szCs w:val="24"/>
        </w:rPr>
        <w:lastRenderedPageBreak/>
        <w:t>10- ADEQUAÇÃO ORÇAMENTÁRIA.</w:t>
      </w:r>
    </w:p>
    <w:p w14:paraId="0905BC44" w14:textId="77777777" w:rsidR="00167CEB" w:rsidRPr="00505466" w:rsidRDefault="00167CEB" w:rsidP="00EA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00" w:lineRule="auto"/>
        <w:jc w:val="center"/>
        <w:rPr>
          <w:rFonts w:ascii="Verdana" w:hAnsi="Verdana" w:cs="Courier New"/>
          <w:bCs/>
          <w:sz w:val="24"/>
          <w:szCs w:val="24"/>
        </w:rPr>
      </w:pPr>
      <w:r w:rsidRPr="00505466">
        <w:rPr>
          <w:rFonts w:ascii="Verdana" w:hAnsi="Verdana" w:cs="Courier New"/>
          <w:bCs/>
          <w:sz w:val="24"/>
          <w:szCs w:val="24"/>
        </w:rPr>
        <w:t>(art. 6º, inciso XXIII, alínea “j”, da Lei nº.  14.133/2021).</w:t>
      </w:r>
    </w:p>
    <w:p w14:paraId="3C143DAB" w14:textId="03814572" w:rsidR="00167CEB" w:rsidRPr="00505466" w:rsidRDefault="00167CEB" w:rsidP="00EA26EA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  <w:r w:rsidRPr="00505466">
        <w:rPr>
          <w:rFonts w:ascii="Verdana" w:hAnsi="Verdana" w:cs="Courier New"/>
          <w:b/>
          <w:bCs/>
        </w:rPr>
        <w:t>10.1.</w:t>
      </w:r>
      <w:r w:rsidRPr="00505466">
        <w:rPr>
          <w:rFonts w:ascii="Verdana" w:hAnsi="Verdana" w:cs="Courier New"/>
        </w:rPr>
        <w:t xml:space="preserve"> Os recursos financeiros necessários para a contratação estão devidamente previstos e alocados no orçamento do AMVAPA para o exercício financeiro de 202</w:t>
      </w:r>
      <w:r w:rsidR="00EA26EA">
        <w:rPr>
          <w:rFonts w:ascii="Verdana" w:hAnsi="Verdana" w:cs="Courier New"/>
        </w:rPr>
        <w:t>6</w:t>
      </w:r>
      <w:r w:rsidRPr="00505466">
        <w:rPr>
          <w:rFonts w:ascii="Verdana" w:hAnsi="Verdana" w:cs="Courier New"/>
        </w:rPr>
        <w:t>. A despesa está contemplada no Plano de Contratações Anual, a contratação será contemplada no orçamento aprovado para 202</w:t>
      </w:r>
      <w:r w:rsidR="00EA26EA">
        <w:rPr>
          <w:rFonts w:ascii="Verdana" w:hAnsi="Verdana" w:cs="Courier New"/>
        </w:rPr>
        <w:t>6</w:t>
      </w:r>
      <w:r w:rsidRPr="00505466">
        <w:rPr>
          <w:rFonts w:ascii="Verdana" w:hAnsi="Verdana" w:cs="Courier New"/>
        </w:rPr>
        <w:t>.</w:t>
      </w:r>
    </w:p>
    <w:p w14:paraId="6F8E8F1A" w14:textId="77777777" w:rsidR="00167CEB" w:rsidRPr="00505466" w:rsidRDefault="00167CEB" w:rsidP="00EA26EA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</w:p>
    <w:p w14:paraId="4B14CB4F" w14:textId="77777777" w:rsidR="00167CEB" w:rsidRPr="00505466" w:rsidRDefault="00167CEB" w:rsidP="00EA26EA">
      <w:pPr>
        <w:pStyle w:val="PargrafodaLista1"/>
        <w:spacing w:line="300" w:lineRule="auto"/>
        <w:ind w:left="0" w:firstLine="709"/>
        <w:jc w:val="both"/>
        <w:rPr>
          <w:rFonts w:ascii="Verdana" w:hAnsi="Verdana" w:cs="Courier New"/>
        </w:rPr>
      </w:pPr>
    </w:p>
    <w:p w14:paraId="7F9DF617" w14:textId="77777777" w:rsidR="00EA26EA" w:rsidRPr="00E3489C" w:rsidRDefault="00EA26EA" w:rsidP="00EA26EA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E3489C">
        <w:rPr>
          <w:rFonts w:ascii="Verdana" w:hAnsi="Verdana"/>
          <w:sz w:val="24"/>
          <w:szCs w:val="24"/>
        </w:rPr>
        <w:t xml:space="preserve">Piraju (SP), </w:t>
      </w:r>
      <w:r>
        <w:rPr>
          <w:rFonts w:ascii="Verdana" w:hAnsi="Verdana"/>
          <w:sz w:val="24"/>
          <w:szCs w:val="24"/>
        </w:rPr>
        <w:t>10</w:t>
      </w:r>
      <w:r w:rsidRPr="00E3489C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novem</w:t>
      </w:r>
      <w:r w:rsidRPr="00E3489C">
        <w:rPr>
          <w:rFonts w:ascii="Verdana" w:hAnsi="Verdana"/>
          <w:sz w:val="24"/>
          <w:szCs w:val="24"/>
        </w:rPr>
        <w:t>bro de 202</w:t>
      </w:r>
      <w:r>
        <w:rPr>
          <w:rFonts w:ascii="Verdana" w:hAnsi="Verdana"/>
          <w:sz w:val="24"/>
          <w:szCs w:val="24"/>
        </w:rPr>
        <w:t>5</w:t>
      </w:r>
      <w:r w:rsidRPr="00E3489C">
        <w:rPr>
          <w:rFonts w:ascii="Verdana" w:hAnsi="Verdana"/>
          <w:sz w:val="24"/>
          <w:szCs w:val="24"/>
        </w:rPr>
        <w:t>.</w:t>
      </w:r>
    </w:p>
    <w:p w14:paraId="69F6CBC3" w14:textId="77777777" w:rsidR="00EA26EA" w:rsidRDefault="00EA26EA" w:rsidP="00EA26EA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p w14:paraId="00BDE1AD" w14:textId="77777777" w:rsidR="00EA26EA" w:rsidRDefault="00EA26EA" w:rsidP="00EA26EA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p w14:paraId="57E021A4" w14:textId="77777777" w:rsidR="00EA26EA" w:rsidRPr="00E3489C" w:rsidRDefault="00EA26EA" w:rsidP="00EA26EA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p w14:paraId="3BF3D7F9" w14:textId="77777777" w:rsidR="00EA26EA" w:rsidRPr="00E3489C" w:rsidRDefault="00EA26EA" w:rsidP="00EA26EA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p w14:paraId="14B14706" w14:textId="77777777" w:rsidR="00EA26EA" w:rsidRPr="00E3489C" w:rsidRDefault="00EA26EA" w:rsidP="00EA26EA">
      <w:pPr>
        <w:spacing w:after="0" w:line="30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3489C">
        <w:rPr>
          <w:rFonts w:ascii="Verdana" w:hAnsi="Verdana"/>
          <w:b/>
          <w:bCs/>
          <w:sz w:val="24"/>
          <w:szCs w:val="24"/>
        </w:rPr>
        <w:t>Vladimir Augusto Martins</w:t>
      </w:r>
    </w:p>
    <w:p w14:paraId="6FFE634E" w14:textId="77777777" w:rsidR="00EA26EA" w:rsidRPr="00E3489C" w:rsidRDefault="00EA26EA" w:rsidP="00EA26EA">
      <w:pPr>
        <w:spacing w:after="0" w:line="300" w:lineRule="auto"/>
        <w:jc w:val="center"/>
        <w:rPr>
          <w:rFonts w:ascii="Verdana" w:hAnsi="Verdana"/>
        </w:rPr>
      </w:pPr>
      <w:r w:rsidRPr="00E3489C">
        <w:rPr>
          <w:rFonts w:ascii="Verdana" w:hAnsi="Verdana"/>
          <w:b/>
          <w:bCs/>
          <w:sz w:val="24"/>
          <w:szCs w:val="24"/>
        </w:rPr>
        <w:t>Diretor Executivo</w:t>
      </w:r>
    </w:p>
    <w:p w14:paraId="24AFB0DE" w14:textId="77777777" w:rsidR="00167CEB" w:rsidRPr="00505466" w:rsidRDefault="00167CEB" w:rsidP="00EA26EA">
      <w:pPr>
        <w:pStyle w:val="PargrafodaLista1"/>
        <w:spacing w:line="300" w:lineRule="auto"/>
        <w:ind w:left="0" w:firstLine="709"/>
        <w:jc w:val="both"/>
        <w:rPr>
          <w:rFonts w:ascii="Verdana" w:hAnsi="Verdana" w:cs="Courier New"/>
        </w:rPr>
      </w:pPr>
    </w:p>
    <w:p w14:paraId="0320F9D0" w14:textId="77777777" w:rsidR="00167CEB" w:rsidRPr="00505466" w:rsidRDefault="00167CEB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07AD73AC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0DED896D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4807C70A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57A26FD5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2C605F04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4A22CC37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2D16D1FF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3E62CD14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2C110F2B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2F8F93FE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0AB98ED2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6526C1FA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7BD2F714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12DB52EE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107C1D4E" w14:textId="77777777" w:rsidR="00EA26EA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p w14:paraId="469BBB7D" w14:textId="77777777" w:rsidR="00EA26EA" w:rsidRPr="00505466" w:rsidRDefault="00EA26EA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bookmarkEnd w:id="0"/>
    <w:p w14:paraId="3A0DD790" w14:textId="77777777" w:rsidR="00167CEB" w:rsidRPr="00505466" w:rsidRDefault="00167CEB" w:rsidP="00EA26EA">
      <w:pPr>
        <w:spacing w:after="0" w:line="300" w:lineRule="auto"/>
        <w:rPr>
          <w:rFonts w:ascii="Verdana" w:hAnsi="Verdana"/>
          <w:sz w:val="24"/>
          <w:szCs w:val="24"/>
        </w:rPr>
      </w:pPr>
    </w:p>
    <w:sectPr w:rsidR="00167CEB" w:rsidRPr="00505466" w:rsidSect="00EA26EA">
      <w:headerReference w:type="default" r:id="rId7"/>
      <w:pgSz w:w="11906" w:h="16838"/>
      <w:pgMar w:top="1418" w:right="1134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C2FC" w14:textId="77777777" w:rsidR="004B4624" w:rsidRDefault="004B4624" w:rsidP="00167CEB">
      <w:pPr>
        <w:spacing w:after="0" w:line="240" w:lineRule="auto"/>
      </w:pPr>
      <w:r>
        <w:separator/>
      </w:r>
    </w:p>
  </w:endnote>
  <w:endnote w:type="continuationSeparator" w:id="0">
    <w:p w14:paraId="514A0CDE" w14:textId="77777777" w:rsidR="004B4624" w:rsidRDefault="004B4624" w:rsidP="0016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55CA" w14:textId="77777777" w:rsidR="004B4624" w:rsidRDefault="004B4624" w:rsidP="00167CEB">
      <w:pPr>
        <w:spacing w:after="0" w:line="240" w:lineRule="auto"/>
      </w:pPr>
      <w:r>
        <w:separator/>
      </w:r>
    </w:p>
  </w:footnote>
  <w:footnote w:type="continuationSeparator" w:id="0">
    <w:p w14:paraId="253BDAB7" w14:textId="77777777" w:rsidR="004B4624" w:rsidRDefault="004B4624" w:rsidP="0016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8E1C" w14:textId="77777777" w:rsidR="00167CEB" w:rsidRPr="0053361E" w:rsidRDefault="00167CEB" w:rsidP="00522430">
    <w:pPr>
      <w:widowControl w:val="0"/>
      <w:tabs>
        <w:tab w:val="center" w:pos="4252"/>
        <w:tab w:val="right" w:pos="8504"/>
        <w:tab w:val="right" w:pos="9106"/>
      </w:tabs>
      <w:autoSpaceDE w:val="0"/>
      <w:autoSpaceDN w:val="0"/>
      <w:spacing w:after="0" w:line="276" w:lineRule="auto"/>
      <w:ind w:left="1134"/>
      <w:rPr>
        <w:rFonts w:ascii="Tahoma" w:eastAsia="Times New Roman" w:hAnsi="Tahoma" w:cs="Tahoma"/>
        <w:b/>
        <w:kern w:val="0"/>
        <w:sz w:val="10"/>
        <w:szCs w:val="10"/>
        <w:lang w:val="pt-PT"/>
        <w14:ligatures w14:val="none"/>
      </w:rPr>
    </w:pPr>
    <w:r w:rsidRPr="0053361E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anchor distT="0" distB="0" distL="114300" distR="114300" simplePos="0" relativeHeight="251659264" behindDoc="0" locked="0" layoutInCell="1" allowOverlap="1" wp14:anchorId="481D2568" wp14:editId="2130D6F5">
          <wp:simplePos x="0" y="0"/>
          <wp:positionH relativeFrom="column">
            <wp:posOffset>-76810</wp:posOffset>
          </wp:positionH>
          <wp:positionV relativeFrom="paragraph">
            <wp:posOffset>5283</wp:posOffset>
          </wp:positionV>
          <wp:extent cx="1080135" cy="505460"/>
          <wp:effectExtent l="0" t="0" r="5715" b="8890"/>
          <wp:wrapNone/>
          <wp:docPr id="527011326" name="Imagem 527011326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CC2C0" w14:textId="77777777" w:rsidR="00167CEB" w:rsidRPr="0053361E" w:rsidRDefault="00167CEB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76" w:lineRule="auto"/>
      <w:ind w:left="1134"/>
      <w:jc w:val="center"/>
      <w:rPr>
        <w:rFonts w:ascii="Tahoma" w:eastAsia="Times New Roman" w:hAnsi="Tahoma" w:cs="Tahoma"/>
        <w:b/>
        <w:kern w:val="0"/>
        <w:lang w:val="pt-PT"/>
        <w14:ligatures w14:val="none"/>
      </w:rPr>
    </w:pPr>
    <w:r w:rsidRPr="0053361E">
      <w:rPr>
        <w:rFonts w:ascii="Tahoma" w:eastAsia="Times New Roman" w:hAnsi="Tahoma" w:cs="Tahoma"/>
        <w:b/>
        <w:kern w:val="0"/>
        <w:lang w:val="pt-PT"/>
        <w14:ligatures w14:val="none"/>
      </w:rPr>
      <w:t>Consórcio Intermunicipal do Alto Vale do Paranapanema - AMVAPA</w:t>
    </w:r>
  </w:p>
  <w:p w14:paraId="3CA8463F" w14:textId="77777777" w:rsidR="00167CEB" w:rsidRPr="0053361E" w:rsidRDefault="00167CEB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1134"/>
      <w:jc w:val="center"/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</w:pPr>
    <w:r w:rsidRPr="0053361E"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  <w:t>Rua Capitão Maximiano dos Santos Guerra, nº. 552 – Jardim Jurumirim – CEP – 18800-660 – PIRAJU – SP.</w:t>
    </w:r>
  </w:p>
  <w:p w14:paraId="1E9BBA87" w14:textId="77777777" w:rsidR="00167CEB" w:rsidRPr="0053361E" w:rsidRDefault="00167CEB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1134"/>
      <w:jc w:val="center"/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</w:pPr>
    <w:r w:rsidRPr="0053361E"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  <w:t>CNPJ 03.753.263/0001-60 - FONE: 14 – 3351-1358</w:t>
    </w:r>
  </w:p>
  <w:p w14:paraId="20D9D64B" w14:textId="77777777" w:rsidR="00167CEB" w:rsidRPr="0053361E" w:rsidRDefault="00167CEB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1134"/>
      <w:jc w:val="center"/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9B6"/>
    <w:multiLevelType w:val="multilevel"/>
    <w:tmpl w:val="5D8896A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abstractNum w:abstractNumId="1" w15:restartNumberingAfterBreak="0">
    <w:nsid w:val="083F7DF7"/>
    <w:multiLevelType w:val="multilevel"/>
    <w:tmpl w:val="1688A9C0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8681CE5"/>
    <w:multiLevelType w:val="multilevel"/>
    <w:tmpl w:val="D0AAA95A"/>
    <w:lvl w:ilvl="0">
      <w:start w:val="1"/>
      <w:numFmt w:val="lowerLetter"/>
      <w:lvlText w:val="%1)"/>
      <w:lvlJc w:val="left"/>
      <w:pPr>
        <w:ind w:left="260" w:hanging="320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4" w:hanging="54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4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8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3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2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1" w:hanging="548"/>
      </w:pPr>
      <w:rPr>
        <w:rFonts w:hint="default"/>
        <w:lang w:val="pt-PT" w:eastAsia="en-US" w:bidi="ar-SA"/>
      </w:rPr>
    </w:lvl>
  </w:abstractNum>
  <w:abstractNum w:abstractNumId="3" w15:restartNumberingAfterBreak="0">
    <w:nsid w:val="0AE94113"/>
    <w:multiLevelType w:val="multilevel"/>
    <w:tmpl w:val="850EF7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0C705021"/>
    <w:multiLevelType w:val="multilevel"/>
    <w:tmpl w:val="BE1A8A68"/>
    <w:lvl w:ilvl="0">
      <w:start w:val="1"/>
      <w:numFmt w:val="decimal"/>
      <w:lvlText w:val="%1"/>
      <w:lvlJc w:val="left"/>
      <w:pPr>
        <w:ind w:left="260" w:hanging="769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6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2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8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4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6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2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769"/>
      </w:pPr>
      <w:rPr>
        <w:rFonts w:hint="default"/>
        <w:lang w:val="pt-PT" w:eastAsia="en-US" w:bidi="ar-SA"/>
      </w:rPr>
    </w:lvl>
  </w:abstractNum>
  <w:abstractNum w:abstractNumId="5" w15:restartNumberingAfterBreak="0">
    <w:nsid w:val="0F822DE8"/>
    <w:multiLevelType w:val="multilevel"/>
    <w:tmpl w:val="05C0CFCA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6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" w:hanging="2520"/>
      </w:pPr>
      <w:rPr>
        <w:rFonts w:hint="default"/>
      </w:rPr>
    </w:lvl>
  </w:abstractNum>
  <w:abstractNum w:abstractNumId="6" w15:restartNumberingAfterBreak="0">
    <w:nsid w:val="18F82A97"/>
    <w:multiLevelType w:val="hybridMultilevel"/>
    <w:tmpl w:val="93964BC6"/>
    <w:lvl w:ilvl="0" w:tplc="5502C550">
      <w:start w:val="1"/>
      <w:numFmt w:val="lowerLetter"/>
      <w:lvlText w:val="%1)"/>
      <w:lvlJc w:val="left"/>
      <w:pPr>
        <w:ind w:left="9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3" w:hanging="360"/>
      </w:pPr>
    </w:lvl>
    <w:lvl w:ilvl="2" w:tplc="0416001B" w:tentative="1">
      <w:start w:val="1"/>
      <w:numFmt w:val="lowerRoman"/>
      <w:lvlText w:val="%3."/>
      <w:lvlJc w:val="right"/>
      <w:pPr>
        <w:ind w:left="2343" w:hanging="180"/>
      </w:pPr>
    </w:lvl>
    <w:lvl w:ilvl="3" w:tplc="0416000F" w:tentative="1">
      <w:start w:val="1"/>
      <w:numFmt w:val="decimal"/>
      <w:lvlText w:val="%4."/>
      <w:lvlJc w:val="left"/>
      <w:pPr>
        <w:ind w:left="3063" w:hanging="360"/>
      </w:pPr>
    </w:lvl>
    <w:lvl w:ilvl="4" w:tplc="04160019" w:tentative="1">
      <w:start w:val="1"/>
      <w:numFmt w:val="lowerLetter"/>
      <w:lvlText w:val="%5."/>
      <w:lvlJc w:val="left"/>
      <w:pPr>
        <w:ind w:left="3783" w:hanging="360"/>
      </w:pPr>
    </w:lvl>
    <w:lvl w:ilvl="5" w:tplc="0416001B" w:tentative="1">
      <w:start w:val="1"/>
      <w:numFmt w:val="lowerRoman"/>
      <w:lvlText w:val="%6."/>
      <w:lvlJc w:val="right"/>
      <w:pPr>
        <w:ind w:left="4503" w:hanging="180"/>
      </w:pPr>
    </w:lvl>
    <w:lvl w:ilvl="6" w:tplc="0416000F" w:tentative="1">
      <w:start w:val="1"/>
      <w:numFmt w:val="decimal"/>
      <w:lvlText w:val="%7."/>
      <w:lvlJc w:val="left"/>
      <w:pPr>
        <w:ind w:left="5223" w:hanging="360"/>
      </w:pPr>
    </w:lvl>
    <w:lvl w:ilvl="7" w:tplc="04160019" w:tentative="1">
      <w:start w:val="1"/>
      <w:numFmt w:val="lowerLetter"/>
      <w:lvlText w:val="%8."/>
      <w:lvlJc w:val="left"/>
      <w:pPr>
        <w:ind w:left="5943" w:hanging="360"/>
      </w:pPr>
    </w:lvl>
    <w:lvl w:ilvl="8" w:tplc="0416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 w15:restartNumberingAfterBreak="0">
    <w:nsid w:val="224A1961"/>
    <w:multiLevelType w:val="multilevel"/>
    <w:tmpl w:val="D76CEB60"/>
    <w:lvl w:ilvl="0">
      <w:start w:val="1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8" w15:restartNumberingAfterBreak="0">
    <w:nsid w:val="227F1314"/>
    <w:multiLevelType w:val="multilevel"/>
    <w:tmpl w:val="AD3A14D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w w:val="105"/>
      </w:rPr>
    </w:lvl>
  </w:abstractNum>
  <w:abstractNum w:abstractNumId="9" w15:restartNumberingAfterBreak="0">
    <w:nsid w:val="24B90C83"/>
    <w:multiLevelType w:val="hybridMultilevel"/>
    <w:tmpl w:val="40D6B210"/>
    <w:lvl w:ilvl="0" w:tplc="98DE235E">
      <w:start w:val="1"/>
      <w:numFmt w:val="lowerLetter"/>
      <w:lvlText w:val="%1)"/>
      <w:lvlJc w:val="left"/>
      <w:pPr>
        <w:ind w:left="260" w:hanging="42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692B642">
      <w:numFmt w:val="bullet"/>
      <w:lvlText w:val="•"/>
      <w:lvlJc w:val="left"/>
      <w:pPr>
        <w:ind w:left="1236" w:hanging="425"/>
      </w:pPr>
      <w:rPr>
        <w:rFonts w:hint="default"/>
        <w:lang w:val="pt-PT" w:eastAsia="en-US" w:bidi="ar-SA"/>
      </w:rPr>
    </w:lvl>
    <w:lvl w:ilvl="2" w:tplc="89A062F8">
      <w:numFmt w:val="bullet"/>
      <w:lvlText w:val="•"/>
      <w:lvlJc w:val="left"/>
      <w:pPr>
        <w:ind w:left="2212" w:hanging="425"/>
      </w:pPr>
      <w:rPr>
        <w:rFonts w:hint="default"/>
        <w:lang w:val="pt-PT" w:eastAsia="en-US" w:bidi="ar-SA"/>
      </w:rPr>
    </w:lvl>
    <w:lvl w:ilvl="3" w:tplc="603AEE66">
      <w:numFmt w:val="bullet"/>
      <w:lvlText w:val="•"/>
      <w:lvlJc w:val="left"/>
      <w:pPr>
        <w:ind w:left="3188" w:hanging="425"/>
      </w:pPr>
      <w:rPr>
        <w:rFonts w:hint="default"/>
        <w:lang w:val="pt-PT" w:eastAsia="en-US" w:bidi="ar-SA"/>
      </w:rPr>
    </w:lvl>
    <w:lvl w:ilvl="4" w:tplc="4A0C0956">
      <w:numFmt w:val="bullet"/>
      <w:lvlText w:val="•"/>
      <w:lvlJc w:val="left"/>
      <w:pPr>
        <w:ind w:left="4164" w:hanging="425"/>
      </w:pPr>
      <w:rPr>
        <w:rFonts w:hint="default"/>
        <w:lang w:val="pt-PT" w:eastAsia="en-US" w:bidi="ar-SA"/>
      </w:rPr>
    </w:lvl>
    <w:lvl w:ilvl="5" w:tplc="9766B0F4">
      <w:numFmt w:val="bullet"/>
      <w:lvlText w:val="•"/>
      <w:lvlJc w:val="left"/>
      <w:pPr>
        <w:ind w:left="5140" w:hanging="425"/>
      </w:pPr>
      <w:rPr>
        <w:rFonts w:hint="default"/>
        <w:lang w:val="pt-PT" w:eastAsia="en-US" w:bidi="ar-SA"/>
      </w:rPr>
    </w:lvl>
    <w:lvl w:ilvl="6" w:tplc="F74A82F2">
      <w:numFmt w:val="bullet"/>
      <w:lvlText w:val="•"/>
      <w:lvlJc w:val="left"/>
      <w:pPr>
        <w:ind w:left="6116" w:hanging="425"/>
      </w:pPr>
      <w:rPr>
        <w:rFonts w:hint="default"/>
        <w:lang w:val="pt-PT" w:eastAsia="en-US" w:bidi="ar-SA"/>
      </w:rPr>
    </w:lvl>
    <w:lvl w:ilvl="7" w:tplc="DE16862C">
      <w:numFmt w:val="bullet"/>
      <w:lvlText w:val="•"/>
      <w:lvlJc w:val="left"/>
      <w:pPr>
        <w:ind w:left="7092" w:hanging="425"/>
      </w:pPr>
      <w:rPr>
        <w:rFonts w:hint="default"/>
        <w:lang w:val="pt-PT" w:eastAsia="en-US" w:bidi="ar-SA"/>
      </w:rPr>
    </w:lvl>
    <w:lvl w:ilvl="8" w:tplc="F00CB46E">
      <w:numFmt w:val="bullet"/>
      <w:lvlText w:val="•"/>
      <w:lvlJc w:val="left"/>
      <w:pPr>
        <w:ind w:left="8068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25B848E4"/>
    <w:multiLevelType w:val="hybridMultilevel"/>
    <w:tmpl w:val="5AE0BB12"/>
    <w:lvl w:ilvl="0" w:tplc="83FE0502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40B0"/>
    <w:multiLevelType w:val="hybridMultilevel"/>
    <w:tmpl w:val="E37ED972"/>
    <w:lvl w:ilvl="0" w:tplc="7B4454CA">
      <w:start w:val="1"/>
      <w:numFmt w:val="lowerLetter"/>
      <w:lvlText w:val="%1)"/>
      <w:lvlJc w:val="left"/>
      <w:pPr>
        <w:ind w:left="260" w:hanging="42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EDC9F1A">
      <w:numFmt w:val="bullet"/>
      <w:lvlText w:val="•"/>
      <w:lvlJc w:val="left"/>
      <w:pPr>
        <w:ind w:left="1236" w:hanging="425"/>
      </w:pPr>
      <w:rPr>
        <w:rFonts w:hint="default"/>
        <w:lang w:val="pt-PT" w:eastAsia="en-US" w:bidi="ar-SA"/>
      </w:rPr>
    </w:lvl>
    <w:lvl w:ilvl="2" w:tplc="2C82EB68">
      <w:numFmt w:val="bullet"/>
      <w:lvlText w:val="•"/>
      <w:lvlJc w:val="left"/>
      <w:pPr>
        <w:ind w:left="2212" w:hanging="425"/>
      </w:pPr>
      <w:rPr>
        <w:rFonts w:hint="default"/>
        <w:lang w:val="pt-PT" w:eastAsia="en-US" w:bidi="ar-SA"/>
      </w:rPr>
    </w:lvl>
    <w:lvl w:ilvl="3" w:tplc="950EE09E">
      <w:numFmt w:val="bullet"/>
      <w:lvlText w:val="•"/>
      <w:lvlJc w:val="left"/>
      <w:pPr>
        <w:ind w:left="3188" w:hanging="425"/>
      </w:pPr>
      <w:rPr>
        <w:rFonts w:hint="default"/>
        <w:lang w:val="pt-PT" w:eastAsia="en-US" w:bidi="ar-SA"/>
      </w:rPr>
    </w:lvl>
    <w:lvl w:ilvl="4" w:tplc="B16CF2E2">
      <w:numFmt w:val="bullet"/>
      <w:lvlText w:val="•"/>
      <w:lvlJc w:val="left"/>
      <w:pPr>
        <w:ind w:left="4164" w:hanging="425"/>
      </w:pPr>
      <w:rPr>
        <w:rFonts w:hint="default"/>
        <w:lang w:val="pt-PT" w:eastAsia="en-US" w:bidi="ar-SA"/>
      </w:rPr>
    </w:lvl>
    <w:lvl w:ilvl="5" w:tplc="73C0FFDA">
      <w:numFmt w:val="bullet"/>
      <w:lvlText w:val="•"/>
      <w:lvlJc w:val="left"/>
      <w:pPr>
        <w:ind w:left="5140" w:hanging="425"/>
      </w:pPr>
      <w:rPr>
        <w:rFonts w:hint="default"/>
        <w:lang w:val="pt-PT" w:eastAsia="en-US" w:bidi="ar-SA"/>
      </w:rPr>
    </w:lvl>
    <w:lvl w:ilvl="6" w:tplc="FA7AE0DC">
      <w:numFmt w:val="bullet"/>
      <w:lvlText w:val="•"/>
      <w:lvlJc w:val="left"/>
      <w:pPr>
        <w:ind w:left="6116" w:hanging="425"/>
      </w:pPr>
      <w:rPr>
        <w:rFonts w:hint="default"/>
        <w:lang w:val="pt-PT" w:eastAsia="en-US" w:bidi="ar-SA"/>
      </w:rPr>
    </w:lvl>
    <w:lvl w:ilvl="7" w:tplc="F634B0EE">
      <w:numFmt w:val="bullet"/>
      <w:lvlText w:val="•"/>
      <w:lvlJc w:val="left"/>
      <w:pPr>
        <w:ind w:left="7092" w:hanging="425"/>
      </w:pPr>
      <w:rPr>
        <w:rFonts w:hint="default"/>
        <w:lang w:val="pt-PT" w:eastAsia="en-US" w:bidi="ar-SA"/>
      </w:rPr>
    </w:lvl>
    <w:lvl w:ilvl="8" w:tplc="26AA9F68">
      <w:numFmt w:val="bullet"/>
      <w:lvlText w:val="•"/>
      <w:lvlJc w:val="left"/>
      <w:pPr>
        <w:ind w:left="8068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354D1A41"/>
    <w:multiLevelType w:val="multilevel"/>
    <w:tmpl w:val="C414BD92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  <w:w w:val="105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w w:val="105"/>
      </w:rPr>
    </w:lvl>
  </w:abstractNum>
  <w:abstractNum w:abstractNumId="13" w15:restartNumberingAfterBreak="0">
    <w:nsid w:val="389F7DDB"/>
    <w:multiLevelType w:val="multilevel"/>
    <w:tmpl w:val="21C4D8F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14" w15:restartNumberingAfterBreak="0">
    <w:nsid w:val="467A72AB"/>
    <w:multiLevelType w:val="hybridMultilevel"/>
    <w:tmpl w:val="D7706C68"/>
    <w:lvl w:ilvl="0" w:tplc="78B8A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21B39"/>
    <w:multiLevelType w:val="multilevel"/>
    <w:tmpl w:val="F6D846E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C5C7D0C"/>
    <w:multiLevelType w:val="multilevel"/>
    <w:tmpl w:val="F08E3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31D82"/>
    <w:multiLevelType w:val="multilevel"/>
    <w:tmpl w:val="AD4CD8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81059E5"/>
    <w:multiLevelType w:val="hybridMultilevel"/>
    <w:tmpl w:val="6FCAF426"/>
    <w:lvl w:ilvl="0" w:tplc="1C265E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7C1B"/>
    <w:multiLevelType w:val="hybridMultilevel"/>
    <w:tmpl w:val="82628F9C"/>
    <w:lvl w:ilvl="0" w:tplc="FDDA1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7287">
    <w:abstractNumId w:val="0"/>
  </w:num>
  <w:num w:numId="2" w16cid:durableId="1936092872">
    <w:abstractNumId w:val="18"/>
  </w:num>
  <w:num w:numId="3" w16cid:durableId="1860730705">
    <w:abstractNumId w:val="10"/>
  </w:num>
  <w:num w:numId="4" w16cid:durableId="350297753">
    <w:abstractNumId w:val="1"/>
  </w:num>
  <w:num w:numId="5" w16cid:durableId="907961758">
    <w:abstractNumId w:val="9"/>
  </w:num>
  <w:num w:numId="6" w16cid:durableId="1583836113">
    <w:abstractNumId w:val="11"/>
  </w:num>
  <w:num w:numId="7" w16cid:durableId="491063667">
    <w:abstractNumId w:val="4"/>
  </w:num>
  <w:num w:numId="8" w16cid:durableId="55863270">
    <w:abstractNumId w:val="2"/>
  </w:num>
  <w:num w:numId="9" w16cid:durableId="199325115">
    <w:abstractNumId w:val="13"/>
  </w:num>
  <w:num w:numId="10" w16cid:durableId="1139612478">
    <w:abstractNumId w:val="3"/>
  </w:num>
  <w:num w:numId="11" w16cid:durableId="1015571705">
    <w:abstractNumId w:val="19"/>
  </w:num>
  <w:num w:numId="12" w16cid:durableId="650717523">
    <w:abstractNumId w:val="6"/>
  </w:num>
  <w:num w:numId="13" w16cid:durableId="1650093770">
    <w:abstractNumId w:val="8"/>
  </w:num>
  <w:num w:numId="14" w16cid:durableId="1416054581">
    <w:abstractNumId w:val="12"/>
  </w:num>
  <w:num w:numId="15" w16cid:durableId="1782258738">
    <w:abstractNumId w:val="7"/>
  </w:num>
  <w:num w:numId="16" w16cid:durableId="1368339217">
    <w:abstractNumId w:val="15"/>
  </w:num>
  <w:num w:numId="17" w16cid:durableId="1927374950">
    <w:abstractNumId w:val="5"/>
  </w:num>
  <w:num w:numId="18" w16cid:durableId="328362331">
    <w:abstractNumId w:val="14"/>
  </w:num>
  <w:num w:numId="19" w16cid:durableId="229274921">
    <w:abstractNumId w:val="16"/>
  </w:num>
  <w:num w:numId="20" w16cid:durableId="653145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EB"/>
    <w:rsid w:val="00167CEB"/>
    <w:rsid w:val="004B4624"/>
    <w:rsid w:val="00505466"/>
    <w:rsid w:val="005978A3"/>
    <w:rsid w:val="006C550C"/>
    <w:rsid w:val="00881669"/>
    <w:rsid w:val="00AA6E21"/>
    <w:rsid w:val="00BF2202"/>
    <w:rsid w:val="00C1192B"/>
    <w:rsid w:val="00E634F1"/>
    <w:rsid w:val="00E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E06"/>
  <w15:chartTrackingRefBased/>
  <w15:docId w15:val="{98F9126D-DA84-40AF-AB70-52EBA505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EB"/>
  </w:style>
  <w:style w:type="paragraph" w:styleId="Ttulo1">
    <w:name w:val="heading 1"/>
    <w:basedOn w:val="Normal"/>
    <w:next w:val="Normal"/>
    <w:link w:val="Ttulo1Char"/>
    <w:uiPriority w:val="1"/>
    <w:qFormat/>
    <w:rsid w:val="0016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16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167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7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6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16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16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7C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7C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C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7C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C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7C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CEB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rsid w:val="00167C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7C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C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7CE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7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CEB"/>
  </w:style>
  <w:style w:type="character" w:styleId="Hyperlink">
    <w:name w:val="Hyperlink"/>
    <w:basedOn w:val="Fontepargpadro"/>
    <w:uiPriority w:val="99"/>
    <w:unhideWhenUsed/>
    <w:rsid w:val="00167CE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rsid w:val="0016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7C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67CEB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7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CEB"/>
  </w:style>
  <w:style w:type="paragraph" w:customStyle="1" w:styleId="PargrafodaLista1">
    <w:name w:val="Parágrafo da Lista1"/>
    <w:basedOn w:val="Normal"/>
    <w:rsid w:val="00167CEB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67CEB"/>
    <w:pPr>
      <w:widowControl w:val="0"/>
      <w:autoSpaceDE w:val="0"/>
      <w:autoSpaceDN w:val="0"/>
      <w:spacing w:after="120" w:line="240" w:lineRule="auto"/>
    </w:pPr>
    <w:rPr>
      <w:rFonts w:ascii="Verdana" w:eastAsia="Verdana" w:hAnsi="Verdana" w:cs="Verdana"/>
      <w:kern w:val="0"/>
      <w:sz w:val="16"/>
      <w:szCs w:val="16"/>
      <w:lang w:val="pt-PT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67CEB"/>
    <w:rPr>
      <w:rFonts w:ascii="Verdana" w:eastAsia="Verdana" w:hAnsi="Verdana" w:cs="Verdana"/>
      <w:kern w:val="0"/>
      <w:sz w:val="16"/>
      <w:szCs w:val="16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CEB"/>
    <w:pPr>
      <w:widowControl w:val="0"/>
      <w:autoSpaceDE w:val="0"/>
      <w:autoSpaceDN w:val="0"/>
      <w:spacing w:after="0" w:line="240" w:lineRule="auto"/>
    </w:pPr>
    <w:rPr>
      <w:rFonts w:ascii="Segoe UI" w:eastAsia="Verdana" w:hAnsi="Segoe UI" w:cs="Segoe UI"/>
      <w:kern w:val="0"/>
      <w:sz w:val="18"/>
      <w:szCs w:val="18"/>
      <w:lang w:val="pt-PT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CEB"/>
    <w:rPr>
      <w:rFonts w:ascii="Segoe UI" w:eastAsia="Verdana" w:hAnsi="Segoe UI" w:cs="Segoe UI"/>
      <w:kern w:val="0"/>
      <w:sz w:val="18"/>
      <w:szCs w:val="18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67C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7CEB"/>
    <w:pPr>
      <w:widowControl w:val="0"/>
      <w:autoSpaceDE w:val="0"/>
      <w:autoSpaceDN w:val="0"/>
      <w:spacing w:after="0" w:line="240" w:lineRule="auto"/>
      <w:ind w:left="106"/>
    </w:pPr>
    <w:rPr>
      <w:rFonts w:ascii="Verdana" w:eastAsia="Verdana" w:hAnsi="Verdana" w:cs="Verdana"/>
      <w:kern w:val="0"/>
      <w:lang w:val="pt-PT"/>
      <w14:ligatures w14:val="none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basedOn w:val="Fontepargpadro"/>
    <w:link w:val="PargrafodaLista"/>
    <w:uiPriority w:val="34"/>
    <w:qFormat/>
    <w:rsid w:val="00167CEB"/>
  </w:style>
  <w:style w:type="character" w:customStyle="1" w:styleId="gmaildefault">
    <w:name w:val="gmail_default"/>
    <w:basedOn w:val="Fontepargpadro"/>
    <w:rsid w:val="00167CEB"/>
  </w:style>
  <w:style w:type="character" w:customStyle="1" w:styleId="MenoPendente1">
    <w:name w:val="Menção Pendente1"/>
    <w:basedOn w:val="Fontepargpadro"/>
    <w:uiPriority w:val="99"/>
    <w:semiHidden/>
    <w:unhideWhenUsed/>
    <w:rsid w:val="00167C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7C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7CE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167CEB"/>
    <w:rPr>
      <w:vertAlign w:val="superscript"/>
    </w:rPr>
  </w:style>
  <w:style w:type="paragraph" w:customStyle="1" w:styleId="Livro">
    <w:name w:val="Livro"/>
    <w:basedOn w:val="Normal"/>
    <w:link w:val="LivroChar"/>
    <w:qFormat/>
    <w:rsid w:val="00167CEB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character" w:customStyle="1" w:styleId="LivroChar">
    <w:name w:val="Livro Char"/>
    <w:basedOn w:val="Fontepargpadro"/>
    <w:link w:val="Livro"/>
    <w:rsid w:val="00167CEB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167C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Pinterich Lima</dc:creator>
  <cp:keywords/>
  <dc:description/>
  <cp:lastModifiedBy>User</cp:lastModifiedBy>
  <cp:revision>2</cp:revision>
  <dcterms:created xsi:type="dcterms:W3CDTF">2026-03-09T17:56:00Z</dcterms:created>
  <dcterms:modified xsi:type="dcterms:W3CDTF">2026-03-09T17:56:00Z</dcterms:modified>
</cp:coreProperties>
</file>